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622072CF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E46041">
        <w:rPr>
          <w:rFonts w:ascii="Cambria Math" w:hAnsi="Cambria Math"/>
          <w:b/>
          <w:bCs/>
          <w:color w:val="000000"/>
          <w:spacing w:val="-2"/>
        </w:rPr>
        <w:t>7</w:t>
      </w:r>
    </w:p>
    <w:p w14:paraId="5EFEBD3E" w14:textId="6F2BD183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3C1764FB" w14:textId="77777777" w:rsidR="00E46041" w:rsidRPr="005E49FE" w:rsidRDefault="00E46041" w:rsidP="00E46041">
      <w:pPr>
        <w:shd w:val="clear" w:color="auto" w:fill="FFFFFF"/>
        <w:jc w:val="center"/>
        <w:rPr>
          <w:rFonts w:ascii="Cambria Math" w:hAnsi="Cambria Math"/>
          <w:b/>
          <w:bCs/>
          <w:color w:val="000000"/>
          <w:spacing w:val="-2"/>
        </w:rPr>
      </w:pPr>
      <w:bookmarkStart w:id="0" w:name="_Hlk195251217"/>
      <w:r>
        <w:rPr>
          <w:rFonts w:ascii="Cambria Math" w:hAnsi="Cambria Math"/>
          <w:b/>
          <w:bCs/>
          <w:color w:val="000000"/>
          <w:spacing w:val="-2"/>
        </w:rPr>
        <w:t xml:space="preserve">SPRZĘT DIAGNOSTYCZNY DO MONITOROWANIA PODSTAWOWYCH PARAMETROW ŻYCIOWYCH </w:t>
      </w:r>
    </w:p>
    <w:p w14:paraId="0E3D09FF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DE384D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5E49FE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p w14:paraId="13EC19E1" w14:textId="537685CC" w:rsidR="00444BB4" w:rsidRDefault="003D57C4" w:rsidP="006A51D7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>
        <w:rPr>
          <w:rFonts w:ascii="Cambria Math" w:hAnsi="Cambria Math"/>
          <w:sz w:val="18"/>
          <w:szCs w:val="18"/>
        </w:rPr>
        <w:t>APARAT DO MIERZENIA CIŚNIENIA</w:t>
      </w:r>
      <w:r w:rsidRPr="0012761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</w:t>
      </w:r>
      <w:r w:rsidR="002C392A" w:rsidRPr="0012761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– </w:t>
      </w:r>
      <w:r>
        <w:rPr>
          <w:rFonts w:ascii="Cambria Math" w:eastAsiaTheme="minorHAnsi" w:hAnsi="Cambria Math"/>
          <w:b/>
          <w:bCs/>
          <w:kern w:val="2"/>
          <w14:ligatures w14:val="standardContextual"/>
        </w:rPr>
        <w:t>10</w:t>
      </w:r>
      <w:r w:rsidR="002C392A" w:rsidRPr="0012761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2B250310" w14:textId="77777777" w:rsidR="002C392A" w:rsidRDefault="002C392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596D2E" w:rsidRPr="005E49FE" w14:paraId="08C1BC62" w14:textId="77777777" w:rsidTr="00596D2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01CD95A" w14:textId="053D6CCD" w:rsidR="00596D2E" w:rsidRPr="00506228" w:rsidRDefault="00596D2E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4DCB3BCB" w14:textId="20839990" w:rsidR="00596D2E" w:rsidRDefault="00596D2E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2C392A" w:rsidRPr="005E49FE" w14:paraId="5B4436D3" w14:textId="77777777" w:rsidTr="007F6398">
        <w:trPr>
          <w:trHeight w:val="337"/>
        </w:trPr>
        <w:tc>
          <w:tcPr>
            <w:tcW w:w="522" w:type="dxa"/>
            <w:vAlign w:val="center"/>
          </w:tcPr>
          <w:p w14:paraId="27C1BF04" w14:textId="77777777" w:rsidR="002C392A" w:rsidRPr="0050622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4EC9BA1E" w14:textId="43315EF5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 xml:space="preserve">Stosowanie strzykawek 2, 5, 6, 10, 12, 20, 30, 35, 50 ml. </w:t>
            </w:r>
          </w:p>
        </w:tc>
      </w:tr>
      <w:tr w:rsidR="002C392A" w:rsidRPr="005E49FE" w14:paraId="146B4D9D" w14:textId="77777777" w:rsidTr="00F36A99">
        <w:tc>
          <w:tcPr>
            <w:tcW w:w="522" w:type="dxa"/>
            <w:vAlign w:val="center"/>
          </w:tcPr>
          <w:p w14:paraId="62F81C2F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279D" w14:textId="5814A95B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Strzykawki montowane od czoła.</w:t>
            </w:r>
          </w:p>
        </w:tc>
      </w:tr>
      <w:tr w:rsidR="002C392A" w:rsidRPr="005E49FE" w14:paraId="4C4B0294" w14:textId="77777777" w:rsidTr="00F36A99">
        <w:tc>
          <w:tcPr>
            <w:tcW w:w="522" w:type="dxa"/>
            <w:vAlign w:val="center"/>
          </w:tcPr>
          <w:p w14:paraId="738D2C8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2BD4C" w14:textId="2BB1E56C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Ramię pompy niewychodzące poza gabaryt obudowy.</w:t>
            </w:r>
          </w:p>
        </w:tc>
      </w:tr>
      <w:tr w:rsidR="002C392A" w:rsidRPr="005E49FE" w14:paraId="135ED933" w14:textId="77777777" w:rsidTr="00F36A99">
        <w:tc>
          <w:tcPr>
            <w:tcW w:w="522" w:type="dxa"/>
            <w:vAlign w:val="center"/>
          </w:tcPr>
          <w:p w14:paraId="74AED143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EDF3" w14:textId="62BB2025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 xml:space="preserve">Klawiatura symboliczna i alfanumeryczna umożliwiająca szybkie i intuicyjne programowanie infuzji oraz obsługę pompy-nie dopuszcza się klawiatury wyświetlanej na ekranie pompy. </w:t>
            </w:r>
          </w:p>
        </w:tc>
      </w:tr>
      <w:tr w:rsidR="002C392A" w:rsidRPr="005E49FE" w14:paraId="484C84B4" w14:textId="77777777" w:rsidTr="00F36A99">
        <w:tc>
          <w:tcPr>
            <w:tcW w:w="522" w:type="dxa"/>
            <w:vAlign w:val="center"/>
          </w:tcPr>
          <w:p w14:paraId="38BF3EE9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5221" w14:textId="3FCD2952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 xml:space="preserve">Wysokość pompy +/- 11 cm </w:t>
            </w:r>
          </w:p>
        </w:tc>
      </w:tr>
      <w:tr w:rsidR="002C392A" w:rsidRPr="005E49FE" w14:paraId="492ECBC9" w14:textId="77777777" w:rsidTr="00F36A99">
        <w:tc>
          <w:tcPr>
            <w:tcW w:w="522" w:type="dxa"/>
            <w:vAlign w:val="center"/>
          </w:tcPr>
          <w:p w14:paraId="3A8BD192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3A243" w14:textId="3CB70E9F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Szybkość dozowania w zakresie 0,01-2000 ml/h</w:t>
            </w:r>
          </w:p>
        </w:tc>
      </w:tr>
      <w:tr w:rsidR="002C392A" w:rsidRPr="005E49FE" w14:paraId="3C8FB576" w14:textId="77777777" w:rsidTr="00F36A99">
        <w:tc>
          <w:tcPr>
            <w:tcW w:w="522" w:type="dxa"/>
            <w:vAlign w:val="center"/>
          </w:tcPr>
          <w:p w14:paraId="234CCBC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8CFD0" w14:textId="77777777" w:rsidR="002C392A" w:rsidRPr="00FC0B4D" w:rsidRDefault="002C392A" w:rsidP="002C392A">
            <w:pPr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>Programowanie parametrów infuzji w jednostkach:</w:t>
            </w:r>
          </w:p>
          <w:p w14:paraId="2E09478A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ml, L,</w:t>
            </w:r>
          </w:p>
          <w:p w14:paraId="350A3EF8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ng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μg</w:t>
            </w:r>
            <w:proofErr w:type="spellEnd"/>
            <w:r w:rsidRPr="00FC0B4D">
              <w:rPr>
                <w:rFonts w:ascii="Cambria Math" w:hAnsi="Cambria Math"/>
              </w:rPr>
              <w:t>, mg, g,</w:t>
            </w:r>
          </w:p>
          <w:p w14:paraId="651E6EA8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μEq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mEq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Eq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5B881692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mlU</w:t>
            </w:r>
            <w:proofErr w:type="spellEnd"/>
            <w:r w:rsidRPr="00FC0B4D">
              <w:rPr>
                <w:rFonts w:ascii="Cambria Math" w:hAnsi="Cambria Math"/>
              </w:rPr>
              <w:t xml:space="preserve">, IU, </w:t>
            </w:r>
            <w:proofErr w:type="spellStart"/>
            <w:r w:rsidRPr="00FC0B4D">
              <w:rPr>
                <w:rFonts w:ascii="Cambria Math" w:hAnsi="Cambria Math"/>
              </w:rPr>
              <w:t>kIU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0ED6BC54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mIE</w:t>
            </w:r>
            <w:proofErr w:type="spellEnd"/>
            <w:r w:rsidRPr="00FC0B4D">
              <w:rPr>
                <w:rFonts w:ascii="Cambria Math" w:hAnsi="Cambria Math"/>
              </w:rPr>
              <w:t xml:space="preserve">, IE, </w:t>
            </w:r>
            <w:proofErr w:type="spellStart"/>
            <w:r w:rsidRPr="00FC0B4D">
              <w:rPr>
                <w:rFonts w:ascii="Cambria Math" w:hAnsi="Cambria Math"/>
              </w:rPr>
              <w:t>kIE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5F039B76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cal, kcal,</w:t>
            </w:r>
          </w:p>
          <w:p w14:paraId="286FD982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J, </w:t>
            </w:r>
            <w:proofErr w:type="spellStart"/>
            <w:r w:rsidRPr="00FC0B4D">
              <w:rPr>
                <w:rFonts w:ascii="Cambria Math" w:hAnsi="Cambria Math"/>
              </w:rPr>
              <w:t>kJ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65F80952" w14:textId="77777777" w:rsidR="002C392A" w:rsidRPr="00FC0B4D" w:rsidRDefault="002C392A" w:rsidP="002C392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6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mmol</w:t>
            </w:r>
            <w:proofErr w:type="spellEnd"/>
            <w:r w:rsidRPr="00FC0B4D">
              <w:rPr>
                <w:rFonts w:ascii="Cambria Math" w:hAnsi="Cambria Math"/>
              </w:rPr>
              <w:t xml:space="preserve">, mol, </w:t>
            </w:r>
          </w:p>
          <w:p w14:paraId="778A785C" w14:textId="77777777" w:rsidR="002C392A" w:rsidRPr="00FC0B4D" w:rsidRDefault="002C392A" w:rsidP="002C392A">
            <w:pPr>
              <w:ind w:left="99"/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>z uwzględnieniem wagi pacjenta lub nie,</w:t>
            </w:r>
          </w:p>
          <w:p w14:paraId="16385F01" w14:textId="77777777" w:rsidR="002C392A" w:rsidRPr="00FC0B4D" w:rsidRDefault="002C392A" w:rsidP="002C392A">
            <w:pPr>
              <w:ind w:left="99"/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z uwzględnieniem powierzchni pacjenta lub nie, </w:t>
            </w:r>
          </w:p>
          <w:p w14:paraId="5432E231" w14:textId="0BA16D54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na min, godz., dobę.</w:t>
            </w:r>
          </w:p>
        </w:tc>
      </w:tr>
      <w:tr w:rsidR="002C392A" w:rsidRPr="005E49FE" w14:paraId="6FDB9B72" w14:textId="77777777" w:rsidTr="00F36A99">
        <w:trPr>
          <w:trHeight w:val="584"/>
        </w:trPr>
        <w:tc>
          <w:tcPr>
            <w:tcW w:w="522" w:type="dxa"/>
            <w:vAlign w:val="center"/>
          </w:tcPr>
          <w:p w14:paraId="703140C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65D1" w14:textId="4AEBD953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Zabezpieczenie przed gwałtowną zmianą szybkości w trakcie trwania infuzji (miareczkowanie).</w:t>
            </w:r>
          </w:p>
        </w:tc>
      </w:tr>
      <w:tr w:rsidR="002C392A" w:rsidRPr="005E49FE" w14:paraId="61655150" w14:textId="77777777" w:rsidTr="00F36A99">
        <w:tc>
          <w:tcPr>
            <w:tcW w:w="522" w:type="dxa"/>
            <w:vAlign w:val="center"/>
          </w:tcPr>
          <w:p w14:paraId="56E753E8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2CA1" w14:textId="77777777" w:rsidR="002C392A" w:rsidRPr="00FC0B4D" w:rsidRDefault="002C392A" w:rsidP="002C392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Tryby dozowania:</w:t>
            </w:r>
          </w:p>
          <w:p w14:paraId="0FA5F069" w14:textId="77777777" w:rsidR="002C392A" w:rsidRPr="00FC0B4D" w:rsidRDefault="002C392A" w:rsidP="002C392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Infuzja ciągła,</w:t>
            </w:r>
          </w:p>
          <w:p w14:paraId="6C04B067" w14:textId="77777777" w:rsidR="002C392A" w:rsidRPr="00FC0B4D" w:rsidRDefault="002C392A" w:rsidP="002C392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Infuzja bolusowa (z przerwą),</w:t>
            </w:r>
          </w:p>
          <w:p w14:paraId="0AF04B78" w14:textId="77777777" w:rsidR="002C392A" w:rsidRPr="00FC0B4D" w:rsidRDefault="002C392A" w:rsidP="002C392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  <w:kern w:val="2"/>
              </w:rPr>
            </w:pPr>
            <w:r w:rsidRPr="00FC0B4D">
              <w:rPr>
                <w:rFonts w:ascii="Cambria Math" w:hAnsi="Cambria Math"/>
              </w:rPr>
              <w:t>Infuzja profilowa (min. 16 kroków infuzji),</w:t>
            </w:r>
          </w:p>
          <w:p w14:paraId="04116AB8" w14:textId="3F8BEB5F" w:rsidR="002C392A" w:rsidRPr="00FC0B4D" w:rsidRDefault="002C392A" w:rsidP="002C392A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Infuzja TPN (narastanie / utrzymanie / opadanie).</w:t>
            </w:r>
          </w:p>
        </w:tc>
      </w:tr>
      <w:tr w:rsidR="002C392A" w:rsidRPr="005E49FE" w14:paraId="6DB2C534" w14:textId="77777777" w:rsidTr="00F36A99">
        <w:trPr>
          <w:trHeight w:val="568"/>
        </w:trPr>
        <w:tc>
          <w:tcPr>
            <w:tcW w:w="522" w:type="dxa"/>
            <w:vAlign w:val="center"/>
          </w:tcPr>
          <w:p w14:paraId="06ED628D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B2" w14:textId="75D17EDD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Dokładność infuzji ± 2%</w:t>
            </w:r>
          </w:p>
        </w:tc>
      </w:tr>
      <w:tr w:rsidR="002C392A" w:rsidRPr="005E49FE" w14:paraId="73330D01" w14:textId="77777777" w:rsidTr="00F36A99">
        <w:tc>
          <w:tcPr>
            <w:tcW w:w="522" w:type="dxa"/>
            <w:vAlign w:val="center"/>
          </w:tcPr>
          <w:p w14:paraId="7E445A97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DEF2" w14:textId="77777777" w:rsidR="002C392A" w:rsidRPr="00FC0B4D" w:rsidRDefault="002C392A" w:rsidP="002C392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Programowanie parametrów podaży Bolus-a i dawki indukcyjnej:</w:t>
            </w:r>
          </w:p>
          <w:p w14:paraId="0001AABB" w14:textId="77777777" w:rsidR="002C392A" w:rsidRPr="00FC0B4D" w:rsidRDefault="002C392A" w:rsidP="002C3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- objętość / dawka</w:t>
            </w:r>
          </w:p>
          <w:p w14:paraId="1F54590E" w14:textId="5AFF7FFB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- czas lub szybkość podaży</w:t>
            </w:r>
          </w:p>
        </w:tc>
      </w:tr>
      <w:tr w:rsidR="002C392A" w:rsidRPr="005E49FE" w14:paraId="57A4BC17" w14:textId="77777777" w:rsidTr="00F36A99">
        <w:trPr>
          <w:trHeight w:val="323"/>
        </w:trPr>
        <w:tc>
          <w:tcPr>
            <w:tcW w:w="522" w:type="dxa"/>
            <w:vAlign w:val="center"/>
          </w:tcPr>
          <w:p w14:paraId="0886DBAC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1626" w14:textId="16DDA06E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FC0B4D">
              <w:rPr>
                <w:rFonts w:ascii="Cambria Math" w:hAnsi="Cambria Math"/>
              </w:rPr>
              <w:t>Automatyczna zmniejszenie szybkości podaży bolusa, w celu uniknięcia przerwania infuzji na skutek alarmu okluzji.</w:t>
            </w:r>
          </w:p>
        </w:tc>
      </w:tr>
      <w:tr w:rsidR="002C392A" w:rsidRPr="005E49FE" w14:paraId="4D69F38D" w14:textId="77777777" w:rsidTr="00F36A99">
        <w:tc>
          <w:tcPr>
            <w:tcW w:w="522" w:type="dxa"/>
            <w:vAlign w:val="center"/>
          </w:tcPr>
          <w:p w14:paraId="65D0AA7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5A27" w14:textId="77777777" w:rsidR="002C392A" w:rsidRPr="00FC0B4D" w:rsidRDefault="002C392A" w:rsidP="002C392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Możliwość wgrania do pompy biblioteki leków złożonej z procedur dozowania zawierających co najmniej:</w:t>
            </w:r>
          </w:p>
          <w:p w14:paraId="3E6F5ADE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nazwy leku,</w:t>
            </w:r>
          </w:p>
          <w:p w14:paraId="50FDC22D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10 koncentracji leku,</w:t>
            </w:r>
          </w:p>
          <w:p w14:paraId="320F15C9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szybkości dozowania (dawkowanie),</w:t>
            </w:r>
          </w:p>
          <w:p w14:paraId="07C386E8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całkowitej objętości (dawki) infuzji,</w:t>
            </w:r>
          </w:p>
          <w:p w14:paraId="731B1F4F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parametrów bolusa, oraz dawki indukcyjnej,</w:t>
            </w:r>
          </w:p>
          <w:p w14:paraId="728D2045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limitów dla wymienionych parametrów infuzji:</w:t>
            </w:r>
          </w:p>
          <w:p w14:paraId="2B1BD999" w14:textId="77777777" w:rsidR="002C392A" w:rsidRPr="00FC0B4D" w:rsidRDefault="002C392A" w:rsidP="002C392A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 xml:space="preserve">miękkich, ostrzegających o przekroczeniu zalecanych wartości parametrów, </w:t>
            </w:r>
          </w:p>
          <w:p w14:paraId="66779706" w14:textId="77777777" w:rsidR="002C392A" w:rsidRPr="00FC0B4D" w:rsidRDefault="002C392A" w:rsidP="002C392A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twardych – blokujących możliwość wprowadzenia wartości spoza ich zakresu.</w:t>
            </w:r>
          </w:p>
          <w:p w14:paraId="14E9B638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Notatki doradczej możliwej do odczytania przed rozpoczęciem infuzji.</w:t>
            </w:r>
          </w:p>
          <w:p w14:paraId="6500518B" w14:textId="77777777" w:rsidR="002C392A" w:rsidRPr="00FC0B4D" w:rsidRDefault="002C392A" w:rsidP="002C392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Podział biblioteki na osobne grupy dedykowane poszczególnym oddziałom szpitalnym, do 40 oddziałów. Wybór oddziału dostępny w pompie.</w:t>
            </w:r>
          </w:p>
          <w:p w14:paraId="58451B1C" w14:textId="77777777" w:rsidR="002C392A" w:rsidRPr="00FC0B4D" w:rsidRDefault="002C392A" w:rsidP="002C392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Podział biblioteki dedykowanej oddziałom na 40 kategorii lekowych.</w:t>
            </w:r>
          </w:p>
          <w:p w14:paraId="1128E849" w14:textId="6E2DE44D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Pojemność biblioteki 4000 procedur dozowania leków.</w:t>
            </w:r>
          </w:p>
        </w:tc>
      </w:tr>
      <w:tr w:rsidR="002C392A" w:rsidRPr="005E49FE" w14:paraId="2CC1A2FB" w14:textId="77777777" w:rsidTr="00F36A99">
        <w:tc>
          <w:tcPr>
            <w:tcW w:w="522" w:type="dxa"/>
            <w:vAlign w:val="center"/>
          </w:tcPr>
          <w:p w14:paraId="74B15876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AAD1" w14:textId="719C43B9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Dostępność polskojęzycznego oprogramowania komputerowego do tworzenia i przesyłania do pompy biblioteki leków.</w:t>
            </w:r>
          </w:p>
        </w:tc>
      </w:tr>
      <w:tr w:rsidR="002C392A" w:rsidRPr="005E49FE" w14:paraId="79226497" w14:textId="77777777" w:rsidTr="00F36A99">
        <w:tc>
          <w:tcPr>
            <w:tcW w:w="522" w:type="dxa"/>
            <w:vAlign w:val="center"/>
          </w:tcPr>
          <w:p w14:paraId="1B96530C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03D3" w14:textId="77777777" w:rsidR="002C392A" w:rsidRPr="00FC0B4D" w:rsidRDefault="002C392A" w:rsidP="002C392A">
            <w:pPr>
              <w:rPr>
                <w:rFonts w:ascii="Cambria Math" w:hAnsi="Cambria Math" w:cs="Calibri"/>
                <w:b/>
                <w:bCs/>
                <w:kern w:val="2"/>
              </w:rPr>
            </w:pPr>
            <w:r w:rsidRPr="00FC0B4D">
              <w:rPr>
                <w:rFonts w:ascii="Cambria Math" w:hAnsi="Cambria Math"/>
              </w:rPr>
              <w:t>Ekran infuzji umożliwiający wyświetlenie następujących informacji jednocześnie:</w:t>
            </w:r>
          </w:p>
          <w:p w14:paraId="10A2739F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nazwa leku,</w:t>
            </w:r>
          </w:p>
          <w:p w14:paraId="433A568E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koncentracja leku,</w:t>
            </w:r>
          </w:p>
          <w:p w14:paraId="30175D7A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szybkość infuzji,</w:t>
            </w:r>
          </w:p>
          <w:p w14:paraId="0B69EDA3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informacji, że wartość szybkości infuzji mieści się w zalecanym zakresie lub znajduje się w zakresie limitu miękkiego dolnego lub górnego,</w:t>
            </w:r>
          </w:p>
          <w:p w14:paraId="79CE314C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podana dawka,</w:t>
            </w:r>
          </w:p>
          <w:p w14:paraId="76461B74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poziom limitów dla szybkości infuzji,</w:t>
            </w:r>
          </w:p>
          <w:p w14:paraId="7A98323D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czas do końca dawki lub czas do końca strzykawki w formie graficznej,</w:t>
            </w:r>
          </w:p>
          <w:p w14:paraId="3BCC4D2A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kategorii leku wyodrębnionej kolorem,</w:t>
            </w:r>
          </w:p>
          <w:p w14:paraId="27B9199A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stan naładowania akumulatora,</w:t>
            </w:r>
          </w:p>
          <w:p w14:paraId="44900571" w14:textId="0317FE84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aktualne ciśnienie w linii pacjenta w formie graficznej.</w:t>
            </w:r>
          </w:p>
        </w:tc>
      </w:tr>
      <w:tr w:rsidR="002C392A" w:rsidRPr="005E49FE" w14:paraId="45C0A8B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3779F150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58A9" w14:textId="4A8BD210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Ekran dotykowy, przyspieszający wybór funkcji pompy.</w:t>
            </w:r>
          </w:p>
        </w:tc>
      </w:tr>
      <w:tr w:rsidR="002C392A" w:rsidRPr="005E49FE" w14:paraId="6F7FDB06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B149DF1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BE1E5" w14:textId="71068DEC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Kolorystyczne wyróżnienie ekranu infuzji do żywienia dojelitowego względem innych realizowanych infuzji.</w:t>
            </w:r>
          </w:p>
        </w:tc>
      </w:tr>
      <w:tr w:rsidR="002C392A" w:rsidRPr="005E49FE" w14:paraId="5FEE0B99" w14:textId="77777777" w:rsidTr="00F36A99">
        <w:trPr>
          <w:trHeight w:val="70"/>
        </w:trPr>
        <w:tc>
          <w:tcPr>
            <w:tcW w:w="522" w:type="dxa"/>
            <w:vAlign w:val="center"/>
          </w:tcPr>
          <w:p w14:paraId="17027529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62A9" w14:textId="237F8CF9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Napisy na wyświetlaczu w języku polskim.</w:t>
            </w:r>
          </w:p>
        </w:tc>
      </w:tr>
      <w:tr w:rsidR="002C392A" w:rsidRPr="005E49FE" w14:paraId="4FAA9E5A" w14:textId="77777777" w:rsidTr="00F36A99">
        <w:trPr>
          <w:trHeight w:val="70"/>
        </w:trPr>
        <w:tc>
          <w:tcPr>
            <w:tcW w:w="522" w:type="dxa"/>
            <w:vAlign w:val="center"/>
          </w:tcPr>
          <w:p w14:paraId="4A3FD004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BF55C" w14:textId="6F4FF835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Regulowane progi ciśnienia okluzji, 12 poziomów.</w:t>
            </w:r>
          </w:p>
        </w:tc>
      </w:tr>
      <w:tr w:rsidR="002C392A" w:rsidRPr="005E49FE" w14:paraId="2CF0131A" w14:textId="77777777" w:rsidTr="00F36A99">
        <w:trPr>
          <w:trHeight w:val="70"/>
        </w:trPr>
        <w:tc>
          <w:tcPr>
            <w:tcW w:w="522" w:type="dxa"/>
            <w:vAlign w:val="center"/>
          </w:tcPr>
          <w:p w14:paraId="41A4A906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2DEF" w14:textId="69F1FB98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Progi ciśnienia regulowane w zakresie 75-900 mmHg.</w:t>
            </w:r>
          </w:p>
        </w:tc>
      </w:tr>
      <w:tr w:rsidR="002C392A" w:rsidRPr="005E49FE" w14:paraId="5E40A7B0" w14:textId="77777777" w:rsidTr="00F36A99">
        <w:trPr>
          <w:trHeight w:val="70"/>
        </w:trPr>
        <w:tc>
          <w:tcPr>
            <w:tcW w:w="522" w:type="dxa"/>
            <w:vAlign w:val="center"/>
          </w:tcPr>
          <w:p w14:paraId="111987C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24D4" w14:textId="034DD741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Zmiana progu ciśnienia okluzji bez przerywania infuzji.</w:t>
            </w:r>
          </w:p>
        </w:tc>
      </w:tr>
      <w:tr w:rsidR="002C392A" w:rsidRPr="005E49FE" w14:paraId="7C4223A9" w14:textId="77777777" w:rsidTr="00F36A99">
        <w:trPr>
          <w:trHeight w:val="70"/>
        </w:trPr>
        <w:tc>
          <w:tcPr>
            <w:tcW w:w="522" w:type="dxa"/>
            <w:vAlign w:val="center"/>
          </w:tcPr>
          <w:p w14:paraId="716E007F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081E" w14:textId="5C4794B4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 xml:space="preserve">Automatyczna redukcja bolusa </w:t>
            </w:r>
            <w:proofErr w:type="spellStart"/>
            <w:r w:rsidRPr="00FC0B4D">
              <w:rPr>
                <w:rFonts w:ascii="Cambria Math" w:hAnsi="Cambria Math"/>
              </w:rPr>
              <w:t>okluzyjnego</w:t>
            </w:r>
            <w:proofErr w:type="spellEnd"/>
            <w:r w:rsidRPr="00FC0B4D">
              <w:rPr>
                <w:rFonts w:ascii="Cambria Math" w:hAnsi="Cambria Math"/>
              </w:rPr>
              <w:t>.</w:t>
            </w:r>
          </w:p>
        </w:tc>
      </w:tr>
      <w:tr w:rsidR="002C392A" w:rsidRPr="005E49FE" w14:paraId="3E2F585C" w14:textId="77777777" w:rsidTr="00F36A99">
        <w:trPr>
          <w:trHeight w:val="70"/>
        </w:trPr>
        <w:tc>
          <w:tcPr>
            <w:tcW w:w="522" w:type="dxa"/>
            <w:vAlign w:val="center"/>
          </w:tcPr>
          <w:p w14:paraId="105F1684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6CD8" w14:textId="4120B128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Priorytetowy system alarmów, zapewniający zróżnicowany sygnał dźwiękowy i świetlny, zależnie od stopnia zagrożenia.</w:t>
            </w:r>
          </w:p>
        </w:tc>
      </w:tr>
      <w:tr w:rsidR="002C392A" w:rsidRPr="005E49FE" w14:paraId="62E45D8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395D9C9C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2E5D" w14:textId="77777777" w:rsidR="002C392A" w:rsidRPr="00FC0B4D" w:rsidRDefault="002C392A" w:rsidP="002C392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Możliwość instalacji pompy w stacji dokującej:</w:t>
            </w:r>
          </w:p>
          <w:p w14:paraId="12B46FAB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Zatrzaskowe mocowanie z automatyczną blokadą, bez konieczności przykręcania.</w:t>
            </w:r>
          </w:p>
          <w:p w14:paraId="2F2CAA58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Alarm nieprawidłowego mocowania pomp w stacji,</w:t>
            </w:r>
          </w:p>
          <w:p w14:paraId="5F8FC6C9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Pompy mocowane niezależnie, jedna nad drugą, </w:t>
            </w:r>
          </w:p>
          <w:p w14:paraId="29C9FE8A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Automatyczne przyłączenie zasilania ze stacji dokującej,</w:t>
            </w:r>
          </w:p>
          <w:p w14:paraId="4536AEBA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Automatyczne przyłączenie portu komunikacyjnego ze stacji dokującej,</w:t>
            </w:r>
          </w:p>
          <w:p w14:paraId="574DE8AF" w14:textId="5DD9F10E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lastRenderedPageBreak/>
              <w:t>Świetlna sygnalizacja stanu pomp: infuzja, alarm, STOP.</w:t>
            </w:r>
          </w:p>
        </w:tc>
      </w:tr>
      <w:tr w:rsidR="002C392A" w:rsidRPr="005E49FE" w14:paraId="58C49A6C" w14:textId="77777777" w:rsidTr="00F36A99">
        <w:trPr>
          <w:trHeight w:val="70"/>
        </w:trPr>
        <w:tc>
          <w:tcPr>
            <w:tcW w:w="522" w:type="dxa"/>
            <w:vAlign w:val="center"/>
          </w:tcPr>
          <w:p w14:paraId="6DE43F8E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72A09" w14:textId="0D019DF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</w:tr>
      <w:tr w:rsidR="002C392A" w:rsidRPr="005E49FE" w14:paraId="4E096A20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9650471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296A" w14:textId="121624E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</w:tr>
      <w:tr w:rsidR="002C392A" w:rsidRPr="005E49FE" w14:paraId="0C1304E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A392451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31755" w14:textId="7692D51C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Uchwyt do przenoszenia pompy na stałe związany z pompą, niewymagający odłączania przy mocowaniu pomp w stacjach dokujących.</w:t>
            </w:r>
          </w:p>
        </w:tc>
      </w:tr>
      <w:tr w:rsidR="002C392A" w:rsidRPr="005E49FE" w14:paraId="5DBBC465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65BE81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0C62" w14:textId="7A068489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 xml:space="preserve">Możliwość komunikacji pomp umieszczonych w stacjach dokujących </w:t>
            </w:r>
            <w:r w:rsidRPr="00FC0B4D">
              <w:rPr>
                <w:rFonts w:ascii="Cambria Math" w:hAnsi="Cambria Math"/>
                <w:kern w:val="20"/>
              </w:rPr>
              <w:t xml:space="preserve">wyposażonych w </w:t>
            </w:r>
            <w:proofErr w:type="spellStart"/>
            <w:r w:rsidRPr="00FC0B4D">
              <w:rPr>
                <w:rFonts w:ascii="Cambria Math" w:hAnsi="Cambria Math"/>
                <w:kern w:val="20"/>
              </w:rPr>
              <w:t>interface</w:t>
            </w:r>
            <w:proofErr w:type="spellEnd"/>
            <w:r w:rsidRPr="00FC0B4D">
              <w:rPr>
                <w:rFonts w:ascii="Cambria Math" w:hAnsi="Cambria Math"/>
                <w:kern w:val="20"/>
              </w:rPr>
              <w:t xml:space="preserve"> LAN z oprogramowaniem zewnętrznym.</w:t>
            </w:r>
          </w:p>
        </w:tc>
      </w:tr>
      <w:tr w:rsidR="002C392A" w:rsidRPr="005E49FE" w14:paraId="2FC5D563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76A4AC2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B5D1" w14:textId="6717753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Historia infuzji – możliwość zapamiętania 2000 zdarzeń oznaczonych datą i godziną zdarzenia.</w:t>
            </w:r>
          </w:p>
        </w:tc>
      </w:tr>
      <w:tr w:rsidR="002C392A" w:rsidRPr="005E49FE" w14:paraId="368E3C2B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3981539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318E2" w14:textId="09F91CD9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Klasa ochrony II, typ CF, odporność na defibrylację, ochrona obudowy IP22</w:t>
            </w:r>
          </w:p>
        </w:tc>
      </w:tr>
      <w:tr w:rsidR="002C392A" w:rsidRPr="005E49FE" w14:paraId="5710373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9A6FB97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8BA5" w14:textId="34D45E17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Zasilanie pomp mocowanych poza stacją dokującą bezpośrednio z sieci energetycznej</w:t>
            </w:r>
          </w:p>
        </w:tc>
      </w:tr>
      <w:tr w:rsidR="002C392A" w:rsidRPr="005E49FE" w14:paraId="35E21C0D" w14:textId="77777777" w:rsidTr="00F36A99">
        <w:trPr>
          <w:trHeight w:val="70"/>
        </w:trPr>
        <w:tc>
          <w:tcPr>
            <w:tcW w:w="522" w:type="dxa"/>
            <w:vAlign w:val="center"/>
          </w:tcPr>
          <w:p w14:paraId="2422557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FAC4" w14:textId="522A671B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Czas pracy z akumulatora do 30 h przy infuzji 5ml/h</w:t>
            </w:r>
          </w:p>
        </w:tc>
      </w:tr>
      <w:tr w:rsidR="002C392A" w:rsidRPr="005E49FE" w14:paraId="06F428D9" w14:textId="77777777" w:rsidTr="00F36A99">
        <w:trPr>
          <w:trHeight w:val="70"/>
        </w:trPr>
        <w:tc>
          <w:tcPr>
            <w:tcW w:w="522" w:type="dxa"/>
            <w:vAlign w:val="center"/>
          </w:tcPr>
          <w:p w14:paraId="3E5AF950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B3CB1" w14:textId="3FC24CF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Czas ładowania akumulatora do 100% po pełnym rozładowaniu – poniżej 5 h</w:t>
            </w:r>
          </w:p>
        </w:tc>
      </w:tr>
      <w:tr w:rsidR="002C392A" w:rsidRPr="005E49FE" w14:paraId="3BFC6F6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FCFB870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395F3" w14:textId="1C0FE851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Pompa kompatybilna ze stacją dokującą z pakietu 7</w:t>
            </w:r>
          </w:p>
        </w:tc>
      </w:tr>
      <w:tr w:rsidR="002C392A" w:rsidRPr="005E49FE" w14:paraId="34AB90F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E49CFD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C273" w14:textId="29502892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Waga do 2,3 kg.</w:t>
            </w:r>
          </w:p>
        </w:tc>
      </w:tr>
      <w:tr w:rsidR="002C392A" w:rsidRPr="005E49FE" w14:paraId="703CA69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68521D55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4555" w14:textId="033124E9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Instrukcja w języku polskim</w:t>
            </w:r>
          </w:p>
        </w:tc>
      </w:tr>
      <w:tr w:rsidR="002C392A" w:rsidRPr="005E49FE" w14:paraId="15966F0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61CFF174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E010" w14:textId="0F61B725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Gwarancja min. 24 m-ce</w:t>
            </w:r>
          </w:p>
        </w:tc>
      </w:tr>
    </w:tbl>
    <w:p w14:paraId="16F328C9" w14:textId="77777777" w:rsidR="00444BB4" w:rsidRPr="00B716C9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26DC76B8" w14:textId="77777777" w:rsidR="00B716C9" w:rsidRPr="00B716C9" w:rsidRDefault="00B716C9" w:rsidP="00B716C9">
      <w:pPr>
        <w:pStyle w:val="Bezodstpw"/>
        <w:jc w:val="center"/>
        <w:rPr>
          <w:rFonts w:ascii="Cambria Math" w:hAnsi="Cambria Math" w:cs="Times New Roman"/>
          <w:b/>
          <w:bCs/>
        </w:rPr>
      </w:pPr>
      <w:r w:rsidRPr="00B716C9">
        <w:rPr>
          <w:rFonts w:ascii="Cambria Math" w:hAnsi="Cambria Math"/>
          <w:b/>
          <w:bCs/>
          <w:color w:val="000000"/>
        </w:rPr>
        <w:t>PULSOKSYMETR</w:t>
      </w:r>
      <w:r w:rsidRPr="00B716C9">
        <w:rPr>
          <w:rFonts w:ascii="Cambria Math" w:hAnsi="Cambria Math" w:cs="Times New Roman"/>
          <w:b/>
          <w:bCs/>
        </w:rPr>
        <w:t xml:space="preserve"> – 4 szt.</w:t>
      </w:r>
    </w:p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511BADE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1E404D4" w14:textId="1C844A1F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339A231D" w14:textId="0C92E0DD" w:rsidR="007F6398" w:rsidRPr="004B26E8" w:rsidRDefault="007F6398" w:rsidP="002C392A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B716C9" w:rsidRPr="005E49FE" w14:paraId="42664615" w14:textId="77777777" w:rsidTr="00FF4657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754F32FB" w14:textId="32EE7430" w:rsidR="00B716C9" w:rsidRPr="004B26E8" w:rsidRDefault="00B716C9" w:rsidP="00B716C9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Aparat przenośny max.  250 gram </w:t>
            </w:r>
          </w:p>
        </w:tc>
      </w:tr>
      <w:tr w:rsidR="00B716C9" w:rsidRPr="005E49FE" w14:paraId="708F0C9F" w14:textId="77777777" w:rsidTr="00FF4657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</w:tcPr>
          <w:p w14:paraId="00EC2803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Zasilanie sieciowe 230V AC</w:t>
            </w:r>
          </w:p>
          <w:p w14:paraId="2290D886" w14:textId="7EC7B502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 50/60 </w:t>
            </w:r>
            <w:proofErr w:type="spellStart"/>
            <w:r w:rsidRPr="000B75A3">
              <w:rPr>
                <w:rFonts w:ascii="Times New Roman" w:hAnsi="Times New Roman"/>
              </w:rPr>
              <w:t>Hz</w:t>
            </w:r>
            <w:proofErr w:type="spellEnd"/>
            <w:r w:rsidRPr="000B75A3">
              <w:rPr>
                <w:rFonts w:ascii="Times New Roman" w:hAnsi="Times New Roman"/>
              </w:rPr>
              <w:t xml:space="preserve"> </w:t>
            </w:r>
          </w:p>
        </w:tc>
      </w:tr>
      <w:tr w:rsidR="00B716C9" w:rsidRPr="005E49FE" w14:paraId="431D14FD" w14:textId="77777777" w:rsidTr="00FF4657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</w:tcPr>
          <w:p w14:paraId="7C5A159A" w14:textId="4E77F73A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Zasilanie (awaryjne) - wbudowany akumulator </w:t>
            </w:r>
          </w:p>
        </w:tc>
      </w:tr>
      <w:tr w:rsidR="00B716C9" w:rsidRPr="005E49FE" w14:paraId="12F46438" w14:textId="77777777" w:rsidTr="00FF4657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</w:tcPr>
          <w:p w14:paraId="47A743FA" w14:textId="6B5447DB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Czas ładowania akumulator</w:t>
            </w:r>
            <w:r>
              <w:rPr>
                <w:rFonts w:ascii="Times New Roman" w:hAnsi="Times New Roman"/>
              </w:rPr>
              <w:t>a</w:t>
            </w:r>
            <w:r w:rsidRPr="000B75A3">
              <w:rPr>
                <w:rFonts w:ascii="Times New Roman" w:hAnsi="Times New Roman"/>
              </w:rPr>
              <w:t xml:space="preserve"> – max. </w:t>
            </w:r>
            <w:r>
              <w:rPr>
                <w:rFonts w:ascii="Times New Roman" w:hAnsi="Times New Roman"/>
              </w:rPr>
              <w:t>4</w:t>
            </w:r>
            <w:r w:rsidRPr="000B75A3">
              <w:rPr>
                <w:rFonts w:ascii="Times New Roman" w:hAnsi="Times New Roman"/>
              </w:rPr>
              <w:t>h</w:t>
            </w:r>
          </w:p>
        </w:tc>
      </w:tr>
      <w:tr w:rsidR="00B716C9" w:rsidRPr="005E49FE" w14:paraId="00AFF6E6" w14:textId="77777777" w:rsidTr="00FF4657">
        <w:trPr>
          <w:trHeight w:val="70"/>
        </w:trPr>
        <w:tc>
          <w:tcPr>
            <w:tcW w:w="522" w:type="dxa"/>
            <w:vAlign w:val="center"/>
          </w:tcPr>
          <w:p w14:paraId="63ABEFF4" w14:textId="1A52D7AC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</w:tcPr>
          <w:p w14:paraId="56215B00" w14:textId="1B5589F5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Pomiar saturacji w zakresie min. 0-100%</w:t>
            </w:r>
          </w:p>
        </w:tc>
      </w:tr>
      <w:tr w:rsidR="00B716C9" w:rsidRPr="005E49FE" w14:paraId="10F4A42D" w14:textId="77777777" w:rsidTr="00FF4657">
        <w:trPr>
          <w:trHeight w:val="70"/>
        </w:trPr>
        <w:tc>
          <w:tcPr>
            <w:tcW w:w="522" w:type="dxa"/>
            <w:vAlign w:val="center"/>
          </w:tcPr>
          <w:p w14:paraId="2E23E273" w14:textId="6C79E0EE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</w:tcPr>
          <w:p w14:paraId="31B321C1" w14:textId="3B9A36F9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Pomiar tętna w zakresie min. 30-240 </w:t>
            </w:r>
            <w:proofErr w:type="spellStart"/>
            <w:r w:rsidRPr="000B75A3">
              <w:rPr>
                <w:rFonts w:ascii="Times New Roman" w:hAnsi="Times New Roman"/>
              </w:rPr>
              <w:t>bpm</w:t>
            </w:r>
            <w:proofErr w:type="spellEnd"/>
          </w:p>
        </w:tc>
      </w:tr>
      <w:tr w:rsidR="00B716C9" w:rsidRPr="005E49FE" w14:paraId="7A13A254" w14:textId="77777777" w:rsidTr="00FF4657">
        <w:trPr>
          <w:trHeight w:val="70"/>
        </w:trPr>
        <w:tc>
          <w:tcPr>
            <w:tcW w:w="522" w:type="dxa"/>
            <w:vAlign w:val="center"/>
          </w:tcPr>
          <w:p w14:paraId="74B4F631" w14:textId="7ADBF09B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</w:tcPr>
          <w:p w14:paraId="263BC66D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Dokładność pomiaru saturacji w minimalnym zakresie: </w:t>
            </w:r>
          </w:p>
          <w:p w14:paraId="5E380083" w14:textId="77777777" w:rsidR="00B716C9" w:rsidRPr="000B75A3" w:rsidRDefault="00B716C9" w:rsidP="00B716C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Dzieci/dorośli </w:t>
            </w:r>
          </w:p>
          <w:p w14:paraId="25789548" w14:textId="77777777" w:rsidR="00B716C9" w:rsidRPr="000B75A3" w:rsidRDefault="00B716C9" w:rsidP="00B716C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Od 70% do 100%: ±2% </w:t>
            </w:r>
          </w:p>
          <w:p w14:paraId="1E03B005" w14:textId="77777777" w:rsidR="00B716C9" w:rsidRPr="000B75A3" w:rsidRDefault="00B716C9" w:rsidP="00B716C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Noworodki </w:t>
            </w:r>
          </w:p>
          <w:p w14:paraId="5D55A0DF" w14:textId="0E846086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Od 70% do 100%: ±3% </w:t>
            </w:r>
          </w:p>
        </w:tc>
      </w:tr>
      <w:tr w:rsidR="00B716C9" w:rsidRPr="005E49FE" w14:paraId="362449E5" w14:textId="77777777" w:rsidTr="00FF4657">
        <w:trPr>
          <w:trHeight w:val="70"/>
        </w:trPr>
        <w:tc>
          <w:tcPr>
            <w:tcW w:w="522" w:type="dxa"/>
            <w:vAlign w:val="center"/>
          </w:tcPr>
          <w:p w14:paraId="5334FD36" w14:textId="3D52261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</w:tcPr>
          <w:p w14:paraId="32E2D54A" w14:textId="0777AAB5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Wyświetlacz LCD kolorowy o przekątnej min. 5”</w:t>
            </w:r>
          </w:p>
        </w:tc>
      </w:tr>
      <w:tr w:rsidR="00B716C9" w:rsidRPr="005E49FE" w14:paraId="332CAD99" w14:textId="77777777" w:rsidTr="00FF4657">
        <w:trPr>
          <w:trHeight w:val="70"/>
        </w:trPr>
        <w:tc>
          <w:tcPr>
            <w:tcW w:w="522" w:type="dxa"/>
            <w:vAlign w:val="center"/>
          </w:tcPr>
          <w:p w14:paraId="39B79068" w14:textId="151CBC1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9.</w:t>
            </w:r>
          </w:p>
        </w:tc>
        <w:tc>
          <w:tcPr>
            <w:tcW w:w="8721" w:type="dxa"/>
          </w:tcPr>
          <w:p w14:paraId="522BAC5D" w14:textId="14DC93CF" w:rsidR="00B716C9" w:rsidRPr="004B26E8" w:rsidRDefault="00B716C9" w:rsidP="00B716C9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Manualna regulacja jasności wyświetlacza min. 11 poziomów oraz automatyczna regulacja w zależności od światła otoczenia </w:t>
            </w:r>
          </w:p>
        </w:tc>
      </w:tr>
      <w:tr w:rsidR="00B716C9" w:rsidRPr="005E49FE" w14:paraId="464ADF3B" w14:textId="77777777" w:rsidTr="00FF4657">
        <w:trPr>
          <w:trHeight w:val="70"/>
        </w:trPr>
        <w:tc>
          <w:tcPr>
            <w:tcW w:w="522" w:type="dxa"/>
            <w:vAlign w:val="center"/>
          </w:tcPr>
          <w:p w14:paraId="08E4ED2A" w14:textId="536C04A0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</w:tcPr>
          <w:p w14:paraId="516B169C" w14:textId="6D1F2C8F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Rozdzielczość – min. 480x850 pikseli</w:t>
            </w:r>
          </w:p>
        </w:tc>
      </w:tr>
      <w:tr w:rsidR="00B716C9" w:rsidRPr="005E49FE" w14:paraId="01FE1126" w14:textId="77777777" w:rsidTr="00FF4657">
        <w:trPr>
          <w:trHeight w:val="70"/>
        </w:trPr>
        <w:tc>
          <w:tcPr>
            <w:tcW w:w="522" w:type="dxa"/>
            <w:vAlign w:val="center"/>
          </w:tcPr>
          <w:p w14:paraId="774A3B1E" w14:textId="5295B01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</w:tcPr>
          <w:p w14:paraId="75CAD945" w14:textId="5FFD6B46" w:rsidR="00B716C9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Selektywne włączane/wyłączane alarmy dla poszczególnych parametrów monitorowanych.</w:t>
            </w:r>
          </w:p>
        </w:tc>
      </w:tr>
      <w:tr w:rsidR="00B716C9" w:rsidRPr="005E49FE" w14:paraId="5453D5C9" w14:textId="77777777" w:rsidTr="00FF4657">
        <w:trPr>
          <w:trHeight w:val="70"/>
        </w:trPr>
        <w:tc>
          <w:tcPr>
            <w:tcW w:w="522" w:type="dxa"/>
            <w:vAlign w:val="center"/>
          </w:tcPr>
          <w:p w14:paraId="04A10951" w14:textId="0C39B13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</w:t>
            </w:r>
            <w:r>
              <w:rPr>
                <w:rFonts w:ascii="Cambria Math" w:hAnsi="Cambria Math"/>
                <w:b/>
                <w:color w:val="000000"/>
                <w:spacing w:val="-2"/>
              </w:rPr>
              <w:t>2</w:t>
            </w: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.</w:t>
            </w:r>
          </w:p>
        </w:tc>
        <w:tc>
          <w:tcPr>
            <w:tcW w:w="8721" w:type="dxa"/>
          </w:tcPr>
          <w:p w14:paraId="30EF1875" w14:textId="18094A0D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Ustawianie granic alarmów parametrów </w:t>
            </w:r>
          </w:p>
        </w:tc>
      </w:tr>
      <w:tr w:rsidR="00B716C9" w:rsidRPr="005E49FE" w14:paraId="0579876A" w14:textId="77777777" w:rsidTr="00FF4657">
        <w:trPr>
          <w:trHeight w:val="70"/>
        </w:trPr>
        <w:tc>
          <w:tcPr>
            <w:tcW w:w="522" w:type="dxa"/>
            <w:vAlign w:val="center"/>
          </w:tcPr>
          <w:p w14:paraId="261349B6" w14:textId="32488793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</w:tcPr>
          <w:p w14:paraId="4CFF9EBD" w14:textId="376AA499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min. 3 stopniowego zawieszania alarmów: min., 1min., 2min., 3 min.,</w:t>
            </w:r>
          </w:p>
        </w:tc>
      </w:tr>
      <w:tr w:rsidR="00B716C9" w:rsidRPr="005E49FE" w14:paraId="7E113DD3" w14:textId="77777777" w:rsidTr="00FF4657">
        <w:trPr>
          <w:trHeight w:val="70"/>
        </w:trPr>
        <w:tc>
          <w:tcPr>
            <w:tcW w:w="522" w:type="dxa"/>
            <w:vAlign w:val="center"/>
          </w:tcPr>
          <w:p w14:paraId="24A61069" w14:textId="414CAC4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</w:tcPr>
          <w:p w14:paraId="11D045C4" w14:textId="11394D30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Alarmy wizualne oraz dźwiękowe</w:t>
            </w:r>
          </w:p>
        </w:tc>
      </w:tr>
      <w:tr w:rsidR="00B716C9" w:rsidRPr="005E49FE" w14:paraId="6F1A01B6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574C" w14:textId="1DFEF0AC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588" w14:textId="5E52E87A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Min. 3 priorytety alarmów: </w:t>
            </w:r>
          </w:p>
        </w:tc>
      </w:tr>
      <w:tr w:rsidR="00B716C9" w:rsidRPr="005E49FE" w14:paraId="1B731F81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A51E" w14:textId="356A651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972" w14:textId="77777777" w:rsidR="00B716C9" w:rsidRPr="000B75A3" w:rsidRDefault="00B716C9" w:rsidP="00B716C9">
            <w:pPr>
              <w:pStyle w:val="Style10"/>
              <w:jc w:val="left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sz w:val="22"/>
                <w:szCs w:val="22"/>
              </w:rPr>
              <w:t>Przeznaczony dla wszystkich kategorii wiekowych, wyposażony w odpowiednie algorytmy pomiarowe.</w:t>
            </w:r>
          </w:p>
          <w:p w14:paraId="208B4F6F" w14:textId="7318DE2E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Automatycznie włącza algorytmy i zakresy pomiarowe adekwatne do wybranej kategorii wiekowej pacjenta</w:t>
            </w:r>
          </w:p>
        </w:tc>
      </w:tr>
      <w:tr w:rsidR="00B716C9" w:rsidRPr="005E49FE" w14:paraId="02967D0C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6AF6" w14:textId="7249466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8DC3" w14:textId="77777777" w:rsidR="00B716C9" w:rsidRPr="000B75A3" w:rsidRDefault="00B716C9" w:rsidP="00B716C9">
            <w:pPr>
              <w:pStyle w:val="Style10"/>
              <w:rPr>
                <w:rFonts w:ascii="Times New Roman" w:hAnsi="Times New Roman"/>
                <w:sz w:val="22"/>
                <w:szCs w:val="22"/>
              </w:rPr>
            </w:pPr>
          </w:p>
          <w:p w14:paraId="67F023B3" w14:textId="421B3FD7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Funkcja blokady ekranu </w:t>
            </w:r>
          </w:p>
        </w:tc>
      </w:tr>
      <w:tr w:rsidR="00B716C9" w:rsidRPr="005E49FE" w14:paraId="6D45FA11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E1DD" w14:textId="469F34F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F851" w14:textId="77777777" w:rsidR="00B716C9" w:rsidRPr="000B75A3" w:rsidRDefault="00B716C9" w:rsidP="00B716C9">
            <w:pPr>
              <w:rPr>
                <w:rFonts w:ascii="Times New Roman" w:hAnsi="Times New Roman"/>
                <w:color w:val="000000" w:themeColor="text1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Parametry wyświetlane:</w:t>
            </w:r>
          </w:p>
          <w:p w14:paraId="317F13C4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-</w:t>
            </w:r>
            <w:r w:rsidRPr="000B75A3">
              <w:rPr>
                <w:rFonts w:ascii="Times New Roman" w:hAnsi="Times New Roman"/>
              </w:rPr>
              <w:t xml:space="preserve"> Częstość pulsu  </w:t>
            </w:r>
          </w:p>
          <w:p w14:paraId="732625F5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- Procentowy pomiar SPO2  </w:t>
            </w:r>
          </w:p>
          <w:p w14:paraId="198B2D74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- Krzywa </w:t>
            </w:r>
            <w:proofErr w:type="spellStart"/>
            <w:r w:rsidRPr="000B75A3">
              <w:rPr>
                <w:rFonts w:ascii="Times New Roman" w:hAnsi="Times New Roman"/>
              </w:rPr>
              <w:t>pletyzmograficzna</w:t>
            </w:r>
            <w:proofErr w:type="spellEnd"/>
          </w:p>
          <w:p w14:paraId="0B5B81F4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-</w:t>
            </w:r>
            <w:r w:rsidRPr="000B75A3">
              <w:rPr>
                <w:rFonts w:ascii="Times New Roman" w:hAnsi="Times New Roman"/>
              </w:rPr>
              <w:t xml:space="preserve"> Wskaźnik perfuzji</w:t>
            </w:r>
          </w:p>
          <w:p w14:paraId="7AB0D771" w14:textId="509513B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- Wskaźnik stanu pracy - sieć, akumulator</w:t>
            </w:r>
          </w:p>
        </w:tc>
      </w:tr>
      <w:tr w:rsidR="00B716C9" w:rsidRPr="005E49FE" w14:paraId="5606D4D5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D4C" w14:textId="7DAA9736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1E79" w14:textId="0221C4B9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Sygnalizacja odłączenia czujnika saturacji</w:t>
            </w:r>
          </w:p>
        </w:tc>
      </w:tr>
      <w:tr w:rsidR="00B716C9" w:rsidRPr="005E49FE" w14:paraId="5548D181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D727" w14:textId="0183FE9E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2F6" w14:textId="6484A8FF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Pamięć: Trendy graficzne min.480 godz. w rozdzielczości 1 minuta.</w:t>
            </w:r>
          </w:p>
        </w:tc>
      </w:tr>
      <w:tr w:rsidR="00B716C9" w:rsidRPr="005E49FE" w14:paraId="5BEAFA72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2F68" w14:textId="55039EC0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80C" w14:textId="50543CE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Graficzny wskaźnik rozładowania baterii</w:t>
            </w:r>
          </w:p>
        </w:tc>
      </w:tr>
      <w:tr w:rsidR="00B716C9" w:rsidRPr="005E49FE" w14:paraId="02C6870B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B71" w14:textId="41C2A61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9AB3" w14:textId="4AB0EA2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W zestawie stacja ładująca z możliwością postawienia na stoliku i obserwowania monitorowanych parametrów</w:t>
            </w:r>
          </w:p>
        </w:tc>
      </w:tr>
      <w:tr w:rsidR="00B716C9" w:rsidRPr="005E49FE" w14:paraId="505A3C75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6573" w14:textId="089FF27E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5F4" w14:textId="001355D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Port USB C</w:t>
            </w:r>
          </w:p>
        </w:tc>
      </w:tr>
      <w:tr w:rsidR="00B716C9" w:rsidRPr="005E49FE" w14:paraId="5460690E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44E6" w14:textId="1B89946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0B6" w14:textId="00D044F7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opcjonalnej, bezprzewodowej transmisji danych do stacji monitorującej</w:t>
            </w:r>
          </w:p>
        </w:tc>
      </w:tr>
      <w:tr w:rsidR="00B716C9" w:rsidRPr="005E49FE" w14:paraId="4ADEFB18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3081" w14:textId="168C6187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659" w14:textId="50F26BE2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rozbudowy o nieinwazyjny pomiar ciśnienia</w:t>
            </w:r>
          </w:p>
        </w:tc>
      </w:tr>
      <w:tr w:rsidR="00B716C9" w:rsidRPr="005E49FE" w14:paraId="7FB54A9D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9DCF" w14:textId="0EA2053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317" w14:textId="7F218E6A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rozbudowy o pomiar temperatury</w:t>
            </w:r>
          </w:p>
        </w:tc>
      </w:tr>
      <w:tr w:rsidR="00B716C9" w:rsidRPr="005E49FE" w14:paraId="6AAC38CF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7141" w14:textId="068C8295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E38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Możliwość ustawienia czułości pomiarów w trybach:</w:t>
            </w:r>
          </w:p>
          <w:p w14:paraId="45CE41F8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-Normalny</w:t>
            </w:r>
          </w:p>
          <w:p w14:paraId="3791AD25" w14:textId="14C5A8F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-Maksymalny</w:t>
            </w:r>
          </w:p>
        </w:tc>
      </w:tr>
      <w:tr w:rsidR="00B716C9" w:rsidRPr="005E49FE" w14:paraId="40C7D434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4B44" w14:textId="2B9D5A8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6963" w14:textId="7DEF54A8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wyboru prędkości przesuwu krzywej SpO2 min. 12,5mm/s; 25mm/s</w:t>
            </w:r>
          </w:p>
        </w:tc>
      </w:tr>
      <w:tr w:rsidR="00B716C9" w:rsidRPr="005E49FE" w14:paraId="2BBCD201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58B" w14:textId="72679E93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DD3" w14:textId="77777777" w:rsidR="00B716C9" w:rsidRPr="000B75A3" w:rsidRDefault="00B716C9" w:rsidP="00B716C9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Gwarancja min. 24 miesiące na pulsoksymetr:</w:t>
            </w:r>
          </w:p>
          <w:p w14:paraId="1455697E" w14:textId="5DA69DF6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Gwarancja min. 6 miesięcy na akcesoria (z wyłączeniem uszkodzeń mechanicznych)</w:t>
            </w:r>
          </w:p>
        </w:tc>
      </w:tr>
      <w:tr w:rsidR="00B716C9" w:rsidRPr="005E49FE" w14:paraId="3A9E2F21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1EE" w14:textId="473ACA58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2877" w14:textId="5C06DF4D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Oprogramowanie urządzenia oraz i</w:t>
            </w:r>
            <w:r w:rsidRPr="000B75A3">
              <w:rPr>
                <w:rFonts w:ascii="Times New Roman" w:eastAsia="Times New Roman" w:hAnsi="Times New Roman"/>
                <w:color w:val="000000" w:themeColor="text1"/>
              </w:rPr>
              <w:t>nstrukcja w języku polskim.</w:t>
            </w:r>
          </w:p>
        </w:tc>
      </w:tr>
    </w:tbl>
    <w:p w14:paraId="13CB2A27" w14:textId="1F563080" w:rsidR="0051673A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6F9A1346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sectPr w:rsidR="00444BB4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624C"/>
    <w:multiLevelType w:val="hybridMultilevel"/>
    <w:tmpl w:val="A466530E"/>
    <w:lvl w:ilvl="0" w:tplc="9DA653EA">
      <w:start w:val="1"/>
      <w:numFmt w:val="bullet"/>
      <w:lvlText w:val="▪"/>
      <w:lvlJc w:val="left"/>
      <w:pPr>
        <w:ind w:left="3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AFBC6">
      <w:start w:val="1"/>
      <w:numFmt w:val="bullet"/>
      <w:lvlText w:val="o"/>
      <w:lvlJc w:val="left"/>
      <w:pPr>
        <w:ind w:left="110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504026">
      <w:start w:val="1"/>
      <w:numFmt w:val="bullet"/>
      <w:lvlText w:val="▪"/>
      <w:lvlJc w:val="left"/>
      <w:pPr>
        <w:ind w:left="182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72082A">
      <w:start w:val="1"/>
      <w:numFmt w:val="bullet"/>
      <w:lvlText w:val="•"/>
      <w:lvlJc w:val="left"/>
      <w:pPr>
        <w:ind w:left="25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A22492">
      <w:start w:val="1"/>
      <w:numFmt w:val="bullet"/>
      <w:lvlText w:val="o"/>
      <w:lvlJc w:val="left"/>
      <w:pPr>
        <w:ind w:left="326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967C">
      <w:start w:val="1"/>
      <w:numFmt w:val="bullet"/>
      <w:lvlText w:val="▪"/>
      <w:lvlJc w:val="left"/>
      <w:pPr>
        <w:ind w:left="39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D2FB00">
      <w:start w:val="1"/>
      <w:numFmt w:val="bullet"/>
      <w:lvlText w:val="•"/>
      <w:lvlJc w:val="left"/>
      <w:pPr>
        <w:ind w:left="470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1255C6">
      <w:start w:val="1"/>
      <w:numFmt w:val="bullet"/>
      <w:lvlText w:val="o"/>
      <w:lvlJc w:val="left"/>
      <w:pPr>
        <w:ind w:left="542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0631B8">
      <w:start w:val="1"/>
      <w:numFmt w:val="bullet"/>
      <w:lvlText w:val="▪"/>
      <w:lvlJc w:val="left"/>
      <w:pPr>
        <w:ind w:left="61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1B06FE3"/>
    <w:multiLevelType w:val="hybridMultilevel"/>
    <w:tmpl w:val="71F06A62"/>
    <w:lvl w:ilvl="0" w:tplc="961C4D3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22715A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E5D5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C82D7E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F425D0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C8A8A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64DE4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E6BAA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86B02E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3E5BAA"/>
    <w:multiLevelType w:val="hybridMultilevel"/>
    <w:tmpl w:val="B69C0670"/>
    <w:lvl w:ilvl="0" w:tplc="3B00023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304CE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1C55C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46B0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C21FF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BE186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10CC6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427C4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238F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A006DB7"/>
    <w:multiLevelType w:val="hybridMultilevel"/>
    <w:tmpl w:val="CBBC9BCA"/>
    <w:lvl w:ilvl="0" w:tplc="392E2A5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8E72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B2C4EA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8A0D4A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34482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46F190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248202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A421B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62B39A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A147AB2"/>
    <w:multiLevelType w:val="hybridMultilevel"/>
    <w:tmpl w:val="92EC0EC8"/>
    <w:lvl w:ilvl="0" w:tplc="7344958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7410C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5644B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2FD7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CA565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9ADE7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E8610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42F0B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08430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4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0"/>
  </w:num>
  <w:num w:numId="5" w16cid:durableId="1524977974">
    <w:abstractNumId w:val="8"/>
  </w:num>
  <w:num w:numId="6" w16cid:durableId="1613169866">
    <w:abstractNumId w:val="3"/>
  </w:num>
  <w:num w:numId="7" w16cid:durableId="490799371">
    <w:abstractNumId w:val="1"/>
  </w:num>
  <w:num w:numId="8" w16cid:durableId="121922139">
    <w:abstractNumId w:val="1"/>
    <w:lvlOverride w:ilvl="0">
      <w:lvl w:ilvl="0" w:tplc="9DA653EA">
        <w:start w:val="1"/>
        <w:numFmt w:val="bullet"/>
        <w:lvlText w:val="▪"/>
        <w:lvlJc w:val="left"/>
        <w:pPr>
          <w:ind w:left="3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AFBC6">
        <w:start w:val="1"/>
        <w:numFmt w:val="bullet"/>
        <w:lvlText w:val="o"/>
        <w:lvlJc w:val="left"/>
        <w:pPr>
          <w:ind w:left="110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E504026">
        <w:start w:val="1"/>
        <w:numFmt w:val="bullet"/>
        <w:lvlText w:val="▪"/>
        <w:lvlJc w:val="left"/>
        <w:pPr>
          <w:ind w:left="182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72082A">
        <w:start w:val="1"/>
        <w:numFmt w:val="bullet"/>
        <w:lvlText w:val="•"/>
        <w:lvlJc w:val="left"/>
        <w:pPr>
          <w:ind w:left="25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A22492">
        <w:start w:val="1"/>
        <w:numFmt w:val="bullet"/>
        <w:lvlText w:val="o"/>
        <w:lvlJc w:val="left"/>
        <w:pPr>
          <w:ind w:left="326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C6967C">
        <w:start w:val="1"/>
        <w:numFmt w:val="bullet"/>
        <w:lvlText w:val="▪"/>
        <w:lvlJc w:val="left"/>
        <w:pPr>
          <w:ind w:left="39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D2FB00">
        <w:start w:val="1"/>
        <w:numFmt w:val="bullet"/>
        <w:lvlText w:val="•"/>
        <w:lvlJc w:val="left"/>
        <w:pPr>
          <w:ind w:left="470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1255C6">
        <w:start w:val="1"/>
        <w:numFmt w:val="bullet"/>
        <w:lvlText w:val="o"/>
        <w:lvlJc w:val="left"/>
        <w:pPr>
          <w:ind w:left="542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0631B8">
        <w:start w:val="1"/>
        <w:numFmt w:val="bullet"/>
        <w:lvlText w:val="▪"/>
        <w:lvlJc w:val="left"/>
        <w:pPr>
          <w:ind w:left="61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44723613">
    <w:abstractNumId w:val="5"/>
  </w:num>
  <w:num w:numId="10" w16cid:durableId="392578722">
    <w:abstractNumId w:val="6"/>
  </w:num>
  <w:num w:numId="11" w16cid:durableId="1410808502">
    <w:abstractNumId w:val="7"/>
  </w:num>
  <w:num w:numId="12" w16cid:durableId="1863933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2137C0"/>
    <w:rsid w:val="0027326F"/>
    <w:rsid w:val="002C392A"/>
    <w:rsid w:val="00382CBE"/>
    <w:rsid w:val="003A058D"/>
    <w:rsid w:val="003D57C4"/>
    <w:rsid w:val="00426741"/>
    <w:rsid w:val="004435C3"/>
    <w:rsid w:val="00444BB4"/>
    <w:rsid w:val="004B26E8"/>
    <w:rsid w:val="00506228"/>
    <w:rsid w:val="0051673A"/>
    <w:rsid w:val="00596D2E"/>
    <w:rsid w:val="005E49FE"/>
    <w:rsid w:val="005F22D2"/>
    <w:rsid w:val="00691509"/>
    <w:rsid w:val="006A3A0C"/>
    <w:rsid w:val="006A51D7"/>
    <w:rsid w:val="0079073F"/>
    <w:rsid w:val="007D3DEA"/>
    <w:rsid w:val="007F6398"/>
    <w:rsid w:val="00880A93"/>
    <w:rsid w:val="00881B16"/>
    <w:rsid w:val="008914CD"/>
    <w:rsid w:val="00923707"/>
    <w:rsid w:val="009F256C"/>
    <w:rsid w:val="00A253BB"/>
    <w:rsid w:val="00A84D8C"/>
    <w:rsid w:val="00B716C9"/>
    <w:rsid w:val="00B7696F"/>
    <w:rsid w:val="00DA647D"/>
    <w:rsid w:val="00DD4E16"/>
    <w:rsid w:val="00E235EC"/>
    <w:rsid w:val="00E46041"/>
    <w:rsid w:val="00E72930"/>
    <w:rsid w:val="00EB2FBD"/>
    <w:rsid w:val="00F06370"/>
    <w:rsid w:val="00F6484F"/>
    <w:rsid w:val="00F83360"/>
    <w:rsid w:val="00FC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Style10">
    <w:name w:val="Style10"/>
    <w:basedOn w:val="Normalny"/>
    <w:rsid w:val="00B716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716C9"/>
    <w:pPr>
      <w:spacing w:after="200" w:line="276" w:lineRule="auto"/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1003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3</cp:revision>
  <dcterms:created xsi:type="dcterms:W3CDTF">2026-03-31T10:00:00Z</dcterms:created>
  <dcterms:modified xsi:type="dcterms:W3CDTF">2026-03-31T10:25:00Z</dcterms:modified>
</cp:coreProperties>
</file>